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655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655185"/>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Lin Xi</w:t>
              </w:r>
            </w:hyperlink>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HF Foods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HFFG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540" w:type="dxa"/>
            <w:vAlign w:val="bottom"/>
            <w:tcBorders>
              <w:bottom w:val="single" w:sz="8" w:color="0000EE"/>
            </w:tcBorders>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480" w:type="dxa"/>
            <w:vAlign w:val="bottom"/>
            <w:gridSpan w:val="4"/>
          </w:tcPr>
          <w:p>
            <w:pPr>
              <w:ind w:left="22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EEEEEE"/>
              <w:bottom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Borders>
              <w:top w:val="single" w:sz="8" w:color="EEEEEE"/>
            </w:tcBorders>
          </w:tcPr>
          <w:p>
            <w:pPr>
              <w:spacing w:after="0"/>
              <w:rPr>
                <w:sz w:val="8"/>
                <w:szCs w:val="8"/>
                <w:color w:val="auto"/>
              </w:rPr>
            </w:pPr>
          </w:p>
        </w:tc>
        <w:tc>
          <w:tcPr>
            <w:tcW w:w="12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vMerge w:val="continue"/>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gridSpan w:val="4"/>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and CEO</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HF FOODS GROUP INC</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06/05/2024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continue"/>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6325 SOUTH RAINBOW BOULEVARD, SUITE</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420</w:t>
            </w:r>
          </w:p>
        </w:tc>
        <w:tc>
          <w:tcPr>
            <w:tcW w:w="14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660" w:type="dxa"/>
            <w:vAlign w:val="bottom"/>
            <w:gridSpan w:val="4"/>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gridSpan w:val="10"/>
            <w:vMerge w:val="continue"/>
          </w:tcPr>
          <w:p>
            <w:pPr>
              <w:spacing w:after="0"/>
              <w:rPr>
                <w:sz w:val="5"/>
                <w:szCs w:val="5"/>
                <w:color w:val="auto"/>
              </w:rPr>
            </w:pPr>
          </w:p>
        </w:tc>
        <w:tc>
          <w:tcPr>
            <w:tcW w:w="20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3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06/07/2024</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tcPr>
          <w:p>
            <w:pPr>
              <w:ind w:left="20"/>
              <w:spacing w:after="0" w:line="192" w:lineRule="exact"/>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w w:val="97"/>
              </w:rPr>
              <w:t>NV</w:t>
            </w:r>
          </w:p>
        </w:tc>
        <w:tc>
          <w:tcPr>
            <w:tcW w:w="940" w:type="dxa"/>
            <w:vAlign w:val="bottom"/>
          </w:tcPr>
          <w:p>
            <w:pPr>
              <w:spacing w:after="0"/>
              <w:rPr>
                <w:sz w:val="16"/>
                <w:szCs w:val="16"/>
                <w:color w:val="auto"/>
              </w:rPr>
            </w:pPr>
          </w:p>
        </w:tc>
        <w:tc>
          <w:tcPr>
            <w:tcW w:w="118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89118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5"/>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2"/>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0" w:type="dxa"/>
            <w:vAlign w:val="bottom"/>
            <w:gridSpan w:val="5"/>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3"/>
          </w:tcPr>
          <w:p>
            <w:pPr>
              <w:spacing w:after="0"/>
              <w:rPr>
                <w:sz w:val="6"/>
                <w:szCs w:val="6"/>
                <w:color w:val="auto"/>
              </w:rPr>
            </w:pPr>
          </w:p>
        </w:tc>
        <w:tc>
          <w:tcPr>
            <w:tcW w:w="1520" w:type="dxa"/>
            <w:vAlign w:val="bottom"/>
            <w:tcBorders>
              <w:bottom w:val="single" w:sz="8" w:color="2C2C2C"/>
            </w:tcBorders>
            <w:gridSpan w:val="5"/>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00" w:type="dxa"/>
            <w:vAlign w:val="bottom"/>
            <w:gridSpan w:val="16"/>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Price of</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8"/>
              </w:rPr>
              <w:t>Security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20"/>
                <w:szCs w:val="20"/>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06/05/2024</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69,718</w:t>
            </w:r>
          </w:p>
        </w:tc>
        <w:tc>
          <w:tcPr>
            <w:tcW w:w="280" w:type="dxa"/>
            <w:vAlign w:val="bottom"/>
          </w:tcPr>
          <w:p>
            <w:pPr>
              <w:spacing w:after="0"/>
              <w:rPr>
                <w:sz w:val="20"/>
                <w:szCs w:val="20"/>
                <w:color w:val="auto"/>
              </w:rPr>
            </w:pP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69,718</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69,718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1 to 1.5x shares of the Issuer's Class A Common Stock upon satisfaction of applicable vesting conditions.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are scheduled to vest on April 15, 2027, if the Company achieves certain revenue and adjusted EBITDA targets for each year ended on December 31, 2024, 2025, and 2026.</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has been filed to include PSU awards that were erroneously omitted from the originally filed Form 4 which was filed with the Securities and Exchange Commission on June 7, 2024.</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Xi Lin</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06/05/2026</w:t>
            </w:r>
          </w:p>
        </w:tc>
      </w:tr>
      <w:tr>
        <w:trPr>
          <w:trHeight w:val="20"/>
        </w:trPr>
        <w:tc>
          <w:tcPr>
            <w:tcW w:w="6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3896" TargetMode="External"/><Relationship Id="rId14" Type="http://schemas.openxmlformats.org/officeDocument/2006/relationships/hyperlink" Target="http://www.sec.gov/cgi-bin/browse-edgar?action=getcompany&amp;CIK=00016808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2026-06-05T19:03:04Z</dcterms:created>
  <dcterms:modified xsi:type="dcterms:W3CDTF">2026-06-05T19:03:04Z</dcterms:modified>
</cp:coreProperties>
</file>